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275D" w:rsidRPr="00B1275D" w:rsidRDefault="00B1275D" w:rsidP="00B1275D">
      <w:pPr>
        <w:jc w:val="center"/>
        <w:rPr>
          <w:b/>
          <w:sz w:val="28"/>
          <w:u w:val="single"/>
        </w:rPr>
      </w:pPr>
      <w:r w:rsidRPr="00B1275D">
        <w:rPr>
          <w:b/>
          <w:sz w:val="28"/>
          <w:u w:val="single"/>
        </w:rPr>
        <w:t>Odůvodnění požadavku železobetonových kontejnerů</w:t>
      </w:r>
    </w:p>
    <w:p w:rsidR="00B1275D" w:rsidRDefault="00B1275D" w:rsidP="00C84CF9">
      <w:pPr>
        <w:jc w:val="both"/>
      </w:pPr>
    </w:p>
    <w:p w:rsidR="00C84CF9" w:rsidRDefault="00C84CF9" w:rsidP="00C84CF9">
      <w:pPr>
        <w:jc w:val="both"/>
      </w:pPr>
      <w:r>
        <w:t xml:space="preserve">V případě projektu </w:t>
      </w:r>
      <w:proofErr w:type="spellStart"/>
      <w:r>
        <w:t>BioCNG</w:t>
      </w:r>
      <w:proofErr w:type="spellEnd"/>
      <w:r>
        <w:t xml:space="preserve"> </w:t>
      </w:r>
      <w:proofErr w:type="spellStart"/>
      <w:r>
        <w:t>Vrahovice</w:t>
      </w:r>
      <w:proofErr w:type="spellEnd"/>
      <w:r>
        <w:t xml:space="preserve"> se jedná o zařízení, kde se v jednom kontejneru provádí separace bioplynu (=zařízení pro čištění bioplynu) a následně v druhém kontejneru (=plnicí stanice) probíhá jeho stlačování na cca 250bar a skladování v tlakových lahvích. Na základě výpočtů požárního zatížení vychází požadavky na požární odolnost konstrukcí </w:t>
      </w:r>
      <w:r>
        <w:t>následovně</w:t>
      </w:r>
      <w:r>
        <w:t>:</w:t>
      </w:r>
    </w:p>
    <w:p w:rsidR="00C84CF9" w:rsidRDefault="00C84CF9" w:rsidP="00C84CF9">
      <w:pPr>
        <w:jc w:val="both"/>
      </w:pPr>
    </w:p>
    <w:p w:rsidR="00C84CF9" w:rsidRDefault="00C84CF9" w:rsidP="00C84CF9">
      <w:pPr>
        <w:pStyle w:val="Normln0"/>
        <w:spacing w:line="240" w:lineRule="auto"/>
        <w:jc w:val="both"/>
        <w:rPr>
          <w:rFonts w:ascii="Calibri" w:hAnsi="Calibri" w:cs="Calibri"/>
          <w:b/>
          <w:bCs/>
          <w:highlight w:val="yellow"/>
        </w:rPr>
      </w:pPr>
      <w:r>
        <w:rPr>
          <w:rFonts w:ascii="Calibri" w:hAnsi="Calibri" w:cs="Calibri"/>
          <w:b/>
          <w:bCs/>
          <w:highlight w:val="yellow"/>
        </w:rPr>
        <w:t>PÚ 1 - SO 01 –  ZAŘÍZENÍ PRO ČIŠTĚNÍ BIOPLYNU</w:t>
      </w:r>
    </w:p>
    <w:p w:rsidR="00C84CF9" w:rsidRDefault="00C84CF9" w:rsidP="00C84CF9">
      <w:pPr>
        <w:jc w:val="both"/>
        <w:rPr>
          <w:b/>
          <w:bCs/>
          <w:highlight w:val="yellow"/>
        </w:rPr>
      </w:pPr>
      <w:proofErr w:type="spellStart"/>
      <w:r>
        <w:rPr>
          <w:b/>
          <w:bCs/>
          <w:highlight w:val="yellow"/>
        </w:rPr>
        <w:t>pv</w:t>
      </w:r>
      <w:proofErr w:type="spellEnd"/>
      <w:r>
        <w:rPr>
          <w:b/>
          <w:bCs/>
          <w:highlight w:val="yellow"/>
        </w:rPr>
        <w:t xml:space="preserve">  [kg.m-2] = </w:t>
      </w:r>
      <w:proofErr w:type="spellStart"/>
      <w:proofErr w:type="gramStart"/>
      <w:r>
        <w:rPr>
          <w:b/>
          <w:bCs/>
          <w:highlight w:val="yellow"/>
        </w:rPr>
        <w:t>p.a.</w:t>
      </w:r>
      <w:proofErr w:type="gramEnd"/>
      <w:r>
        <w:rPr>
          <w:b/>
          <w:bCs/>
          <w:highlight w:val="yellow"/>
        </w:rPr>
        <w:t>b.c</w:t>
      </w:r>
      <w:proofErr w:type="spellEnd"/>
      <w:r>
        <w:rPr>
          <w:b/>
          <w:bCs/>
          <w:highlight w:val="yellow"/>
        </w:rPr>
        <w:t xml:space="preserve"> =    12,65</w:t>
      </w:r>
    </w:p>
    <w:p w:rsidR="00C84CF9" w:rsidRDefault="00C84CF9" w:rsidP="00C84CF9">
      <w:pPr>
        <w:jc w:val="both"/>
        <w:rPr>
          <w:b/>
          <w:bCs/>
          <w:highlight w:val="yellow"/>
        </w:rPr>
      </w:pPr>
      <w:r>
        <w:rPr>
          <w:b/>
          <w:bCs/>
          <w:highlight w:val="yellow"/>
        </w:rPr>
        <w:t xml:space="preserve">  Stupeň požární bezpečnosti (čl. 7.2) = I  </w:t>
      </w:r>
    </w:p>
    <w:p w:rsidR="00C84CF9" w:rsidRDefault="00C84CF9" w:rsidP="00C84CF9">
      <w:pPr>
        <w:jc w:val="both"/>
        <w:rPr>
          <w:rFonts w:ascii="Courier New" w:hAnsi="Courier New" w:cs="Courier New"/>
          <w:sz w:val="20"/>
          <w:szCs w:val="20"/>
          <w:highlight w:val="yellow"/>
        </w:rPr>
      </w:pPr>
    </w:p>
    <w:p w:rsidR="00C84CF9" w:rsidRDefault="00C84CF9" w:rsidP="00C84CF9">
      <w:pPr>
        <w:jc w:val="both"/>
        <w:rPr>
          <w:rFonts w:ascii="Courier New" w:hAnsi="Courier New" w:cs="Courier New"/>
          <w:highlight w:val="yellow"/>
        </w:rPr>
      </w:pPr>
      <w:r>
        <w:rPr>
          <w:rFonts w:ascii="Courier New" w:hAnsi="Courier New" w:cs="Courier New"/>
          <w:highlight w:val="yellow"/>
        </w:rPr>
        <w:t>12 Jednopodlažní objekty, viz 8.1.1</w:t>
      </w:r>
    </w:p>
    <w:p w:rsidR="00C84CF9" w:rsidRDefault="00C84CF9" w:rsidP="00C84CF9">
      <w:pPr>
        <w:jc w:val="both"/>
        <w:rPr>
          <w:rFonts w:ascii="Courier New" w:hAnsi="Courier New" w:cs="Courier New"/>
          <w:highlight w:val="yellow"/>
        </w:rPr>
      </w:pPr>
      <w:r>
        <w:rPr>
          <w:rFonts w:ascii="Courier New" w:hAnsi="Courier New" w:cs="Courier New"/>
          <w:highlight w:val="yellow"/>
        </w:rPr>
        <w:t>  ---------------------------------------------------------------------------</w:t>
      </w:r>
    </w:p>
    <w:p w:rsidR="00C84CF9" w:rsidRDefault="00C84CF9" w:rsidP="00C84CF9">
      <w:pPr>
        <w:jc w:val="both"/>
        <w:rPr>
          <w:rFonts w:ascii="Courier New" w:hAnsi="Courier New" w:cs="Courier New"/>
          <w:highlight w:val="yellow"/>
        </w:rPr>
      </w:pPr>
      <w:r>
        <w:rPr>
          <w:rFonts w:ascii="Courier New" w:hAnsi="Courier New" w:cs="Courier New"/>
          <w:highlight w:val="yellow"/>
        </w:rPr>
        <w:t xml:space="preserve">  požární </w:t>
      </w:r>
      <w:proofErr w:type="gramStart"/>
      <w:r>
        <w:rPr>
          <w:rFonts w:ascii="Courier New" w:hAnsi="Courier New" w:cs="Courier New"/>
          <w:highlight w:val="yellow"/>
        </w:rPr>
        <w:t>stěny                                                     : 30</w:t>
      </w:r>
      <w:proofErr w:type="gramEnd"/>
      <w:r>
        <w:rPr>
          <w:rFonts w:ascii="Courier New" w:hAnsi="Courier New" w:cs="Courier New"/>
          <w:highlight w:val="yellow"/>
        </w:rPr>
        <w:t xml:space="preserve"> DP1</w:t>
      </w:r>
    </w:p>
    <w:p w:rsidR="00C84CF9" w:rsidRDefault="00C84CF9" w:rsidP="00C84CF9">
      <w:pPr>
        <w:jc w:val="both"/>
        <w:rPr>
          <w:rFonts w:ascii="Courier New" w:hAnsi="Courier New" w:cs="Courier New"/>
          <w:highlight w:val="yellow"/>
        </w:rPr>
      </w:pPr>
      <w:r>
        <w:rPr>
          <w:rFonts w:ascii="Courier New" w:hAnsi="Courier New" w:cs="Courier New"/>
          <w:highlight w:val="yellow"/>
        </w:rPr>
        <w:t xml:space="preserve">  požární uzávěry otvorů v požárních </w:t>
      </w:r>
      <w:proofErr w:type="gramStart"/>
      <w:r>
        <w:rPr>
          <w:rFonts w:ascii="Courier New" w:hAnsi="Courier New" w:cs="Courier New"/>
          <w:highlight w:val="yellow"/>
        </w:rPr>
        <w:t>stěnách                        : 15</w:t>
      </w:r>
      <w:proofErr w:type="gramEnd"/>
      <w:r>
        <w:rPr>
          <w:rFonts w:ascii="Courier New" w:hAnsi="Courier New" w:cs="Courier New"/>
          <w:highlight w:val="yellow"/>
        </w:rPr>
        <w:t xml:space="preserve"> DP1</w:t>
      </w:r>
    </w:p>
    <w:p w:rsidR="00C84CF9" w:rsidRDefault="00C84CF9" w:rsidP="00C84CF9">
      <w:pPr>
        <w:jc w:val="both"/>
        <w:rPr>
          <w:rFonts w:ascii="Courier New" w:hAnsi="Courier New" w:cs="Courier New"/>
          <w:b/>
          <w:bCs/>
          <w:highlight w:val="yellow"/>
        </w:rPr>
      </w:pPr>
      <w:r>
        <w:rPr>
          <w:rFonts w:ascii="Courier New" w:hAnsi="Courier New" w:cs="Courier New"/>
          <w:highlight w:val="yellow"/>
        </w:rPr>
        <w:t xml:space="preserve">  svislé </w:t>
      </w:r>
      <w:proofErr w:type="spellStart"/>
      <w:r>
        <w:rPr>
          <w:rFonts w:ascii="Courier New" w:hAnsi="Courier New" w:cs="Courier New"/>
          <w:highlight w:val="yellow"/>
        </w:rPr>
        <w:t>pož</w:t>
      </w:r>
      <w:proofErr w:type="spellEnd"/>
      <w:r>
        <w:rPr>
          <w:rFonts w:ascii="Courier New" w:hAnsi="Courier New" w:cs="Courier New"/>
          <w:highlight w:val="yellow"/>
        </w:rPr>
        <w:t xml:space="preserve">. pásy v </w:t>
      </w:r>
      <w:proofErr w:type="spellStart"/>
      <w:r>
        <w:rPr>
          <w:rFonts w:ascii="Courier New" w:hAnsi="Courier New" w:cs="Courier New"/>
          <w:highlight w:val="yellow"/>
        </w:rPr>
        <w:t>obv</w:t>
      </w:r>
      <w:proofErr w:type="spellEnd"/>
      <w:r>
        <w:rPr>
          <w:rFonts w:ascii="Courier New" w:hAnsi="Courier New" w:cs="Courier New"/>
          <w:highlight w:val="yellow"/>
        </w:rPr>
        <w:t xml:space="preserve">. </w:t>
      </w:r>
      <w:proofErr w:type="gramStart"/>
      <w:r>
        <w:rPr>
          <w:rFonts w:ascii="Courier New" w:hAnsi="Courier New" w:cs="Courier New"/>
          <w:highlight w:val="yellow"/>
        </w:rPr>
        <w:t>stěnách</w:t>
      </w:r>
      <w:proofErr w:type="gramEnd"/>
      <w:r>
        <w:rPr>
          <w:rFonts w:ascii="Courier New" w:hAnsi="Courier New" w:cs="Courier New"/>
          <w:highlight w:val="yellow"/>
        </w:rPr>
        <w:t xml:space="preserve"> mezi </w:t>
      </w:r>
      <w:proofErr w:type="spellStart"/>
      <w:r>
        <w:rPr>
          <w:rFonts w:ascii="Courier New" w:hAnsi="Courier New" w:cs="Courier New"/>
          <w:highlight w:val="yellow"/>
        </w:rPr>
        <w:t>obj</w:t>
      </w:r>
      <w:proofErr w:type="spellEnd"/>
      <w:r>
        <w:rPr>
          <w:rFonts w:ascii="Courier New" w:hAnsi="Courier New" w:cs="Courier New"/>
          <w:highlight w:val="yellow"/>
        </w:rPr>
        <w:t xml:space="preserve">. </w:t>
      </w:r>
      <w:r>
        <w:rPr>
          <w:rFonts w:ascii="Courier New" w:hAnsi="Courier New" w:cs="Courier New"/>
          <w:b/>
          <w:bCs/>
          <w:highlight w:val="yellow"/>
        </w:rPr>
        <w:t xml:space="preserve">a </w:t>
      </w:r>
      <w:proofErr w:type="spellStart"/>
      <w:r>
        <w:rPr>
          <w:rFonts w:ascii="Courier New" w:hAnsi="Courier New" w:cs="Courier New"/>
          <w:b/>
          <w:bCs/>
          <w:highlight w:val="yellow"/>
        </w:rPr>
        <w:t>obv.stěny</w:t>
      </w:r>
      <w:proofErr w:type="spellEnd"/>
      <w:r>
        <w:rPr>
          <w:rFonts w:ascii="Courier New" w:hAnsi="Courier New" w:cs="Courier New"/>
          <w:b/>
          <w:bCs/>
          <w:highlight w:val="yellow"/>
        </w:rPr>
        <w:t xml:space="preserve"> bez PO ploch: 15 DP1</w:t>
      </w:r>
    </w:p>
    <w:p w:rsidR="00C84CF9" w:rsidRDefault="00C84CF9" w:rsidP="00C84CF9">
      <w:pPr>
        <w:jc w:val="both"/>
        <w:rPr>
          <w:rFonts w:ascii="Courier New" w:hAnsi="Courier New" w:cs="Courier New"/>
          <w:highlight w:val="yellow"/>
        </w:rPr>
      </w:pPr>
      <w:r>
        <w:rPr>
          <w:rFonts w:ascii="Courier New" w:hAnsi="Courier New" w:cs="Courier New"/>
          <w:highlight w:val="yellow"/>
        </w:rPr>
        <w:t>  --------------------------------------------------------------------------</w:t>
      </w:r>
    </w:p>
    <w:p w:rsidR="00C84CF9" w:rsidRDefault="00C84CF9" w:rsidP="00C84CF9">
      <w:pPr>
        <w:pStyle w:val="Normln0"/>
        <w:spacing w:line="240" w:lineRule="auto"/>
        <w:jc w:val="both"/>
        <w:rPr>
          <w:rFonts w:ascii="Calibri" w:hAnsi="Calibri" w:cs="Calibri"/>
          <w:b/>
          <w:bCs/>
          <w:highlight w:val="yellow"/>
        </w:rPr>
      </w:pPr>
    </w:p>
    <w:p w:rsidR="00C84CF9" w:rsidRDefault="00C84CF9" w:rsidP="00C84CF9">
      <w:pPr>
        <w:pStyle w:val="Normln0"/>
        <w:spacing w:line="240" w:lineRule="auto"/>
        <w:jc w:val="both"/>
        <w:rPr>
          <w:rFonts w:ascii="Calibri" w:hAnsi="Calibri" w:cs="Calibri"/>
          <w:b/>
          <w:bCs/>
          <w:highlight w:val="yellow"/>
        </w:rPr>
      </w:pPr>
      <w:r>
        <w:rPr>
          <w:rFonts w:ascii="Calibri" w:hAnsi="Calibri" w:cs="Calibri"/>
          <w:b/>
          <w:bCs/>
          <w:highlight w:val="yellow"/>
        </w:rPr>
        <w:t>PÚ 2 - SO 02 –  PLNÍCÍ STANICE</w:t>
      </w:r>
    </w:p>
    <w:p w:rsidR="00C84CF9" w:rsidRDefault="00C84CF9" w:rsidP="00C84CF9">
      <w:pPr>
        <w:jc w:val="both"/>
        <w:rPr>
          <w:b/>
          <w:bCs/>
          <w:highlight w:val="yellow"/>
        </w:rPr>
      </w:pPr>
      <w:proofErr w:type="spellStart"/>
      <w:r>
        <w:rPr>
          <w:b/>
          <w:bCs/>
          <w:highlight w:val="yellow"/>
        </w:rPr>
        <w:t>pv</w:t>
      </w:r>
      <w:proofErr w:type="spellEnd"/>
      <w:r>
        <w:rPr>
          <w:b/>
          <w:bCs/>
          <w:highlight w:val="yellow"/>
        </w:rPr>
        <w:t xml:space="preserve">  [kg.m-2] = </w:t>
      </w:r>
      <w:proofErr w:type="spellStart"/>
      <w:proofErr w:type="gramStart"/>
      <w:r>
        <w:rPr>
          <w:b/>
          <w:bCs/>
          <w:highlight w:val="yellow"/>
        </w:rPr>
        <w:t>p.a.</w:t>
      </w:r>
      <w:proofErr w:type="gramEnd"/>
      <w:r>
        <w:rPr>
          <w:b/>
          <w:bCs/>
          <w:highlight w:val="yellow"/>
        </w:rPr>
        <w:t>b.c</w:t>
      </w:r>
      <w:proofErr w:type="spellEnd"/>
      <w:r>
        <w:rPr>
          <w:b/>
          <w:bCs/>
          <w:highlight w:val="yellow"/>
        </w:rPr>
        <w:t xml:space="preserve"> =   182,15</w:t>
      </w:r>
    </w:p>
    <w:p w:rsidR="00C84CF9" w:rsidRDefault="00C84CF9" w:rsidP="00C84CF9">
      <w:pPr>
        <w:jc w:val="both"/>
        <w:rPr>
          <w:b/>
          <w:bCs/>
          <w:highlight w:val="yellow"/>
        </w:rPr>
      </w:pPr>
      <w:r>
        <w:rPr>
          <w:b/>
          <w:bCs/>
          <w:highlight w:val="yellow"/>
        </w:rPr>
        <w:t>  Stupeň požární bezpečnosti (čl. 7.2) = IV.</w:t>
      </w:r>
    </w:p>
    <w:p w:rsidR="00C84CF9" w:rsidRDefault="00C84CF9" w:rsidP="00C84CF9">
      <w:pPr>
        <w:jc w:val="both"/>
        <w:rPr>
          <w:rFonts w:ascii="Courier New" w:hAnsi="Courier New" w:cs="Courier New"/>
          <w:sz w:val="20"/>
          <w:szCs w:val="20"/>
          <w:highlight w:val="yellow"/>
        </w:rPr>
      </w:pPr>
      <w:r>
        <w:rPr>
          <w:rFonts w:ascii="Courier New" w:hAnsi="Courier New" w:cs="Courier New"/>
          <w:highlight w:val="yellow"/>
        </w:rPr>
        <w:t>12 Jednopodlažní objekty, viz 8.1.1</w:t>
      </w:r>
    </w:p>
    <w:p w:rsidR="00C84CF9" w:rsidRDefault="00C84CF9" w:rsidP="00C84CF9">
      <w:pPr>
        <w:jc w:val="both"/>
        <w:rPr>
          <w:rFonts w:ascii="Courier New" w:hAnsi="Courier New" w:cs="Courier New"/>
          <w:highlight w:val="yellow"/>
        </w:rPr>
      </w:pPr>
      <w:r>
        <w:rPr>
          <w:rFonts w:ascii="Courier New" w:hAnsi="Courier New" w:cs="Courier New"/>
          <w:highlight w:val="yellow"/>
        </w:rPr>
        <w:t>  --------------------------------------------------------------------------</w:t>
      </w:r>
    </w:p>
    <w:p w:rsidR="00C84CF9" w:rsidRDefault="00C84CF9" w:rsidP="00C84CF9">
      <w:pPr>
        <w:jc w:val="both"/>
        <w:rPr>
          <w:rFonts w:ascii="Courier New" w:hAnsi="Courier New" w:cs="Courier New"/>
          <w:highlight w:val="yellow"/>
        </w:rPr>
      </w:pPr>
      <w:r>
        <w:rPr>
          <w:rFonts w:ascii="Courier New" w:hAnsi="Courier New" w:cs="Courier New"/>
          <w:highlight w:val="yellow"/>
        </w:rPr>
        <w:t xml:space="preserve">  požární </w:t>
      </w:r>
      <w:proofErr w:type="gramStart"/>
      <w:r>
        <w:rPr>
          <w:rFonts w:ascii="Courier New" w:hAnsi="Courier New" w:cs="Courier New"/>
          <w:highlight w:val="yellow"/>
        </w:rPr>
        <w:t>stěny                                                     : 90</w:t>
      </w:r>
      <w:proofErr w:type="gramEnd"/>
      <w:r>
        <w:rPr>
          <w:rFonts w:ascii="Courier New" w:hAnsi="Courier New" w:cs="Courier New"/>
          <w:highlight w:val="yellow"/>
        </w:rPr>
        <w:t xml:space="preserve"> DP1</w:t>
      </w:r>
    </w:p>
    <w:p w:rsidR="00C84CF9" w:rsidRDefault="00C84CF9" w:rsidP="00C84CF9">
      <w:pPr>
        <w:jc w:val="both"/>
        <w:rPr>
          <w:rFonts w:ascii="Courier New" w:hAnsi="Courier New" w:cs="Courier New"/>
          <w:highlight w:val="yellow"/>
        </w:rPr>
      </w:pPr>
      <w:r>
        <w:rPr>
          <w:rFonts w:ascii="Courier New" w:hAnsi="Courier New" w:cs="Courier New"/>
          <w:highlight w:val="yellow"/>
        </w:rPr>
        <w:t xml:space="preserve">  požární uzávěry otvorů v požárních </w:t>
      </w:r>
      <w:proofErr w:type="gramStart"/>
      <w:r>
        <w:rPr>
          <w:rFonts w:ascii="Courier New" w:hAnsi="Courier New" w:cs="Courier New"/>
          <w:highlight w:val="yellow"/>
        </w:rPr>
        <w:t>stěnách                        : 45</w:t>
      </w:r>
      <w:proofErr w:type="gramEnd"/>
      <w:r>
        <w:rPr>
          <w:rFonts w:ascii="Courier New" w:hAnsi="Courier New" w:cs="Courier New"/>
          <w:highlight w:val="yellow"/>
        </w:rPr>
        <w:t xml:space="preserve"> DP1</w:t>
      </w:r>
    </w:p>
    <w:p w:rsidR="00C84CF9" w:rsidRDefault="00C84CF9" w:rsidP="00C84CF9">
      <w:pPr>
        <w:jc w:val="both"/>
        <w:rPr>
          <w:rFonts w:ascii="Courier New" w:hAnsi="Courier New" w:cs="Courier New"/>
          <w:b/>
          <w:bCs/>
          <w:highlight w:val="yellow"/>
        </w:rPr>
      </w:pPr>
      <w:r>
        <w:rPr>
          <w:rFonts w:ascii="Courier New" w:hAnsi="Courier New" w:cs="Courier New"/>
          <w:highlight w:val="yellow"/>
        </w:rPr>
        <w:t xml:space="preserve">  svislé </w:t>
      </w:r>
      <w:proofErr w:type="spellStart"/>
      <w:r>
        <w:rPr>
          <w:rFonts w:ascii="Courier New" w:hAnsi="Courier New" w:cs="Courier New"/>
          <w:highlight w:val="yellow"/>
        </w:rPr>
        <w:t>pož</w:t>
      </w:r>
      <w:proofErr w:type="spellEnd"/>
      <w:r>
        <w:rPr>
          <w:rFonts w:ascii="Courier New" w:hAnsi="Courier New" w:cs="Courier New"/>
          <w:highlight w:val="yellow"/>
        </w:rPr>
        <w:t xml:space="preserve">. pásy v </w:t>
      </w:r>
      <w:proofErr w:type="spellStart"/>
      <w:r>
        <w:rPr>
          <w:rFonts w:ascii="Courier New" w:hAnsi="Courier New" w:cs="Courier New"/>
          <w:highlight w:val="yellow"/>
        </w:rPr>
        <w:t>obv</w:t>
      </w:r>
      <w:proofErr w:type="spellEnd"/>
      <w:r>
        <w:rPr>
          <w:rFonts w:ascii="Courier New" w:hAnsi="Courier New" w:cs="Courier New"/>
          <w:highlight w:val="yellow"/>
        </w:rPr>
        <w:t xml:space="preserve">. </w:t>
      </w:r>
      <w:proofErr w:type="gramStart"/>
      <w:r>
        <w:rPr>
          <w:rFonts w:ascii="Courier New" w:hAnsi="Courier New" w:cs="Courier New"/>
          <w:highlight w:val="yellow"/>
        </w:rPr>
        <w:t>stěnách</w:t>
      </w:r>
      <w:proofErr w:type="gramEnd"/>
      <w:r>
        <w:rPr>
          <w:rFonts w:ascii="Courier New" w:hAnsi="Courier New" w:cs="Courier New"/>
          <w:highlight w:val="yellow"/>
        </w:rPr>
        <w:t xml:space="preserve"> mezi </w:t>
      </w:r>
      <w:proofErr w:type="spellStart"/>
      <w:r>
        <w:rPr>
          <w:rFonts w:ascii="Courier New" w:hAnsi="Courier New" w:cs="Courier New"/>
          <w:highlight w:val="yellow"/>
        </w:rPr>
        <w:t>obj.a</w:t>
      </w:r>
      <w:proofErr w:type="spellEnd"/>
      <w:r>
        <w:rPr>
          <w:rFonts w:ascii="Courier New" w:hAnsi="Courier New" w:cs="Courier New"/>
          <w:highlight w:val="yellow"/>
        </w:rPr>
        <w:t xml:space="preserve"> </w:t>
      </w:r>
      <w:proofErr w:type="spellStart"/>
      <w:r>
        <w:rPr>
          <w:rFonts w:ascii="Courier New" w:hAnsi="Courier New" w:cs="Courier New"/>
          <w:b/>
          <w:bCs/>
          <w:highlight w:val="yellow"/>
        </w:rPr>
        <w:t>obv.stěny</w:t>
      </w:r>
      <w:proofErr w:type="spellEnd"/>
      <w:r>
        <w:rPr>
          <w:rFonts w:ascii="Courier New" w:hAnsi="Courier New" w:cs="Courier New"/>
          <w:b/>
          <w:bCs/>
          <w:highlight w:val="yellow"/>
        </w:rPr>
        <w:t xml:space="preserve"> bez </w:t>
      </w:r>
      <w:proofErr w:type="spellStart"/>
      <w:r>
        <w:rPr>
          <w:rFonts w:ascii="Courier New" w:hAnsi="Courier New" w:cs="Courier New"/>
          <w:b/>
          <w:bCs/>
          <w:highlight w:val="yellow"/>
        </w:rPr>
        <w:t>p.o</w:t>
      </w:r>
      <w:proofErr w:type="spellEnd"/>
      <w:r>
        <w:rPr>
          <w:rFonts w:ascii="Courier New" w:hAnsi="Courier New" w:cs="Courier New"/>
          <w:b/>
          <w:bCs/>
          <w:highlight w:val="yellow"/>
        </w:rPr>
        <w:t xml:space="preserve"> ploch: 45 DP1</w:t>
      </w:r>
    </w:p>
    <w:p w:rsidR="00C84CF9" w:rsidRDefault="00C84CF9" w:rsidP="00C84CF9">
      <w:pPr>
        <w:jc w:val="both"/>
        <w:rPr>
          <w:rFonts w:ascii="Courier New" w:hAnsi="Courier New" w:cs="Courier New"/>
          <w:b/>
          <w:bCs/>
          <w:highlight w:val="yellow"/>
        </w:rPr>
      </w:pPr>
      <w:r>
        <w:rPr>
          <w:rFonts w:ascii="Courier New" w:hAnsi="Courier New" w:cs="Courier New"/>
          <w:b/>
          <w:bCs/>
          <w:highlight w:val="yellow"/>
        </w:rPr>
        <w:t>----------------------------------------------------------------------------</w:t>
      </w:r>
    </w:p>
    <w:p w:rsidR="00C84CF9" w:rsidRDefault="00C84CF9" w:rsidP="00C84CF9">
      <w:pPr>
        <w:pStyle w:val="Odstavecseseznamem"/>
        <w:jc w:val="both"/>
      </w:pPr>
    </w:p>
    <w:p w:rsidR="00C84CF9" w:rsidRDefault="00C84CF9" w:rsidP="00C84CF9">
      <w:pPr>
        <w:jc w:val="both"/>
      </w:pPr>
      <w:r>
        <w:t xml:space="preserve">Uvedené vychází </w:t>
      </w:r>
      <w:r>
        <w:t xml:space="preserve">z technických norem a požadavků legislativy. </w:t>
      </w:r>
      <w:r>
        <w:t>Uvedené je pevně dáno a</w:t>
      </w:r>
      <w:r>
        <w:t xml:space="preserve"> nelze </w:t>
      </w:r>
      <w:r>
        <w:t xml:space="preserve">to </w:t>
      </w:r>
      <w:r>
        <w:t>měnit. Z  výpočtů je vidět, že v případě 1. kontejneru pro čištění bioplynu je požadavek „pouze“ 15DP1, resp. 30DP1 pro požární stěnu. V případě plnicí stanice je požadavek již přísnější a sice 45DP1 a respektive 90DP1 pro požární stěnu. Je to z</w:t>
      </w:r>
      <w:r>
        <w:t xml:space="preserve"> toho </w:t>
      </w:r>
      <w:r>
        <w:t xml:space="preserve">důvodu, že plyn je zde </w:t>
      </w:r>
      <w:r>
        <w:rPr>
          <w:b/>
          <w:bCs/>
        </w:rPr>
        <w:t>skladován pod vysokým tlakem = větší množství plynu v kontejneru = větší požární zatížení</w:t>
      </w:r>
      <w:r>
        <w:t xml:space="preserve">. </w:t>
      </w:r>
    </w:p>
    <w:p w:rsidR="00C84CF9" w:rsidRDefault="00C84CF9" w:rsidP="00C84CF9">
      <w:pPr>
        <w:pStyle w:val="Odstavecseseznamem"/>
        <w:jc w:val="both"/>
      </w:pPr>
    </w:p>
    <w:p w:rsidR="00C84CF9" w:rsidRDefault="00B1275D" w:rsidP="00C84CF9">
      <w:pPr>
        <w:jc w:val="both"/>
      </w:pPr>
      <w:r>
        <w:t>Projektant</w:t>
      </w:r>
      <w:r w:rsidR="00C84CF9">
        <w:t xml:space="preserve"> upozorňuje, že o</w:t>
      </w:r>
      <w:r w:rsidR="00C84CF9">
        <w:t xml:space="preserve">byčejný plechový kontejner bez </w:t>
      </w:r>
      <w:proofErr w:type="spellStart"/>
      <w:r w:rsidR="00C84CF9">
        <w:t>jakýchokoliv</w:t>
      </w:r>
      <w:proofErr w:type="spellEnd"/>
      <w:r w:rsidR="00C84CF9">
        <w:t xml:space="preserve"> úprav je sice nehořlavý (splňuje DP1), ale má požární odolnost </w:t>
      </w:r>
      <w:r w:rsidR="00C84CF9">
        <w:t xml:space="preserve">pouze </w:t>
      </w:r>
      <w:r w:rsidR="00C84CF9">
        <w:t>cca 5 minut. Po této době dojde k jeho deformaci a požár se může šířit nekontrolovaně i za stěnu kontejneru. Je to známá vlastnost ocelových konstrukcí – jsou sice nehořlavé, ale mají nízkou požární odolnost - při požáru měknou a ztrácí stabilitu již po pár minutách požáru. Obyčejný plechový kontejner bez úprav  se bere ja</w:t>
      </w:r>
      <w:r>
        <w:t>ko požárně otevřená konstrukce, p</w:t>
      </w:r>
      <w:r w:rsidR="00C84CF9">
        <w:t xml:space="preserve">roto se v těchto případech plechové kontejnery z vnitřní strany obkládají většinou minerální izolací a třeba </w:t>
      </w:r>
      <w:proofErr w:type="spellStart"/>
      <w:r w:rsidR="00C84CF9">
        <w:t>cetris</w:t>
      </w:r>
      <w:proofErr w:type="spellEnd"/>
      <w:r w:rsidR="00C84CF9">
        <w:t xml:space="preserve"> deskami, nebo se ocelové konstrukce natírají speciálními nátěry apod. Toto je možné, podle zvolené skladby se zvýší požární odolnost. Je to však nutné doložit certifikátem, který prokáže, že daná skladba odpovídá typové skladbě s danou požární odolností. I přes všechny tyto úpravy </w:t>
      </w:r>
      <w:r w:rsidR="00C84CF9">
        <w:lastRenderedPageBreak/>
        <w:t xml:space="preserve">však  nelze docílit obložením plechového kontejneru odolnost větší než 30 minut. </w:t>
      </w:r>
      <w:r>
        <w:t xml:space="preserve">Dle názoru projektanta </w:t>
      </w:r>
      <w:r w:rsidR="00C84CF9">
        <w:t xml:space="preserve">není reálné zajistit pomocí plechového kontejneru </w:t>
      </w:r>
      <w:r>
        <w:t xml:space="preserve">odolnost </w:t>
      </w:r>
      <w:r>
        <w:t>45minu</w:t>
      </w:r>
      <w:r>
        <w:t>t</w:t>
      </w:r>
      <w:r w:rsidR="00777329">
        <w:t xml:space="preserve">, natož minut </w:t>
      </w:r>
      <w:r w:rsidR="00C84CF9">
        <w:t>90</w:t>
      </w:r>
      <w:r w:rsidR="00777329">
        <w:t xml:space="preserve"> (t</w:t>
      </w:r>
      <w:r w:rsidR="00C84CF9">
        <w:t>o by se musely stěny uvnitř plechového kontejneru obezdít, což je nesmysl</w:t>
      </w:r>
      <w:r w:rsidR="00777329">
        <w:t>)</w:t>
      </w:r>
      <w:r w:rsidR="00C84CF9">
        <w:t>.</w:t>
      </w:r>
    </w:p>
    <w:p w:rsidR="00C84CF9" w:rsidRDefault="00C84CF9" w:rsidP="00C84CF9">
      <w:pPr>
        <w:pStyle w:val="Odstavecseseznamem"/>
        <w:jc w:val="both"/>
      </w:pPr>
    </w:p>
    <w:p w:rsidR="00C84CF9" w:rsidRDefault="00777329" w:rsidP="00C84CF9">
      <w:pPr>
        <w:jc w:val="both"/>
      </w:pPr>
      <w:r>
        <w:t>Z tohoto důvodu</w:t>
      </w:r>
      <w:r w:rsidR="00C84CF9">
        <w:t xml:space="preserve"> </w:t>
      </w:r>
      <w:r>
        <w:t xml:space="preserve">se </w:t>
      </w:r>
      <w:r w:rsidR="00C84CF9">
        <w:t xml:space="preserve">plnicí stanice dělají prakticky bez </w:t>
      </w:r>
      <w:r>
        <w:t>výjimky</w:t>
      </w:r>
      <w:r w:rsidR="00C84CF9">
        <w:t xml:space="preserve"> z betonových kontejnerů, </w:t>
      </w:r>
      <w:r>
        <w:t xml:space="preserve">právě </w:t>
      </w:r>
      <w:r w:rsidR="00C84CF9">
        <w:t xml:space="preserve">aby bylo docíleno požadovaných 45DP1, resp. 90DP. Betonový kontejner </w:t>
      </w:r>
      <w:r>
        <w:t>uvedené</w:t>
      </w:r>
      <w:r w:rsidR="00C84CF9">
        <w:t xml:space="preserve"> plní bez problémů (ocelová armatura je zde chráněna betonem). Snad všechny plnicí stanice CNG v ČR, od všech možných dodavatelů jsou v betonových kontejnerech. </w:t>
      </w:r>
      <w:r>
        <w:t>Projektantovi není známa žádná plnicí stanice</w:t>
      </w:r>
      <w:r w:rsidR="00C84CF9">
        <w:t xml:space="preserve"> v plechovém kontejneru. Teoreticky by plnicí stanice také mohla být v plechovém kontejneru bez nějakých zásadních úprav, ale znamenalo by to, že v blízkosti kontejneru (řádově 10m a možná více v závislosti na konkrétním výpočtu) nesmí být jiný objekt, protože by to bylo posuzováno jako požárně otevřená konstrukce. </w:t>
      </w:r>
    </w:p>
    <w:p w:rsidR="00C84CF9" w:rsidRDefault="00C84CF9" w:rsidP="00C84CF9">
      <w:pPr>
        <w:pStyle w:val="Odstavecseseznamem"/>
        <w:jc w:val="both"/>
      </w:pPr>
    </w:p>
    <w:p w:rsidR="00C84CF9" w:rsidRDefault="00C84CF9" w:rsidP="00C84CF9">
      <w:pPr>
        <w:jc w:val="both"/>
      </w:pPr>
      <w:r>
        <w:t xml:space="preserve">V případě </w:t>
      </w:r>
      <w:proofErr w:type="spellStart"/>
      <w:r>
        <w:t>bioCNG</w:t>
      </w:r>
      <w:proofErr w:type="spellEnd"/>
      <w:r>
        <w:t xml:space="preserve"> </w:t>
      </w:r>
      <w:proofErr w:type="spellStart"/>
      <w:r>
        <w:t>Vrahovice</w:t>
      </w:r>
      <w:proofErr w:type="spellEnd"/>
      <w:r>
        <w:t xml:space="preserve"> kontejner čištění bioplynu (= jeden požární úsek) přímo sousedí s kontejnerem plnicí stanice (=druhý požární úsek). 3. požární úsek je rozvodna NN, která je součástí kontejneru čištění bioplynu. Kontejner čištění bioplynu je tedy rozdělen na 2 úseky. Mezi požárními úseky se vždy nachází požární stěna. Vzhledem k možnému prostoru není možné umístit kontejner plnicí stanice nějakých 10m od ostatních objektů – varianta řešit to jako požárně otevřenou konstrukci tedy nepřipadá v úvahu. Vzhledem k tomu, že plnicí stanice těsně navazuje na kontejner čištění, tak mezi nimi </w:t>
      </w:r>
      <w:r>
        <w:rPr>
          <w:b/>
          <w:bCs/>
          <w:u w:val="single"/>
        </w:rPr>
        <w:t>musí být splněno 90DP1</w:t>
      </w:r>
      <w:r>
        <w:t xml:space="preserve">. Betonový kontejner plničky toto zajistí. Pak by teoreticky stačil kontejner čištění 15DP1 s vnitřní příčkou 30DP1, což je možné docílit z plechového kontejneru s vnitřním obložením. Také je  možné udělat kontejner plnicí stanice 45DP1, betonovou stěnu, která zajistí 90DP1 a pak kontejner čištění 15DP1. </w:t>
      </w:r>
    </w:p>
    <w:p w:rsidR="00C84CF9" w:rsidRDefault="00C84CF9" w:rsidP="00C84CF9">
      <w:pPr>
        <w:pStyle w:val="Odstavecseseznamem"/>
        <w:jc w:val="both"/>
      </w:pPr>
    </w:p>
    <w:p w:rsidR="00C84CF9" w:rsidRDefault="00777329" w:rsidP="00C84CF9">
      <w:pPr>
        <w:jc w:val="both"/>
      </w:pPr>
      <w:r>
        <w:t>Zpracovatel projektu</w:t>
      </w:r>
      <w:r w:rsidR="00C84CF9">
        <w:t xml:space="preserve"> zvolil oba kontejnery betonové. Vzhledem k velikostem kontejnerů je to reálné. </w:t>
      </w:r>
      <w:r>
        <w:t xml:space="preserve">Cenově zde není příliš velký rozdíl a </w:t>
      </w:r>
      <w:r w:rsidR="00C84CF9">
        <w:t xml:space="preserve">vzhledově je lepší mít u sebe 2 stejné betonové, než jeden betonový a k němu přilepený plechový. Betonový navíc </w:t>
      </w:r>
      <w:proofErr w:type="spellStart"/>
      <w:r w:rsidR="00C84CF9">
        <w:t>nerezne</w:t>
      </w:r>
      <w:proofErr w:type="spellEnd"/>
      <w:r w:rsidR="00C84CF9">
        <w:t xml:space="preserve"> jako plechový. V PD </w:t>
      </w:r>
      <w:r w:rsidR="0085082D">
        <w:t>je třeba</w:t>
      </w:r>
      <w:r w:rsidR="00C84CF9">
        <w:t xml:space="preserve"> zvolit a vybrat vždy jednu variantu a tu musí zpracovatel PBŘS posoudit. Nelze to dělat v několika variantách. Stavební povolení je také vydáno pro jednu konkrétní variantu. Neznamená to ale, že musí být každopádně oba kontejnery betonové</w:t>
      </w:r>
      <w:r>
        <w:t xml:space="preserve">, pokud </w:t>
      </w:r>
      <w:r w:rsidR="0085082D">
        <w:t>uživatel</w:t>
      </w:r>
      <w:r>
        <w:t xml:space="preserve"> povolí</w:t>
      </w:r>
      <w:r w:rsidR="00C84CF9">
        <w:t xml:space="preserve">. Jak jsem psal níže jako odpověď na dotaz, může být zvolen i jiný typ materiálů, </w:t>
      </w:r>
      <w:r>
        <w:t>ale</w:t>
      </w:r>
      <w:r w:rsidR="00C84CF9">
        <w:t xml:space="preserve"> </w:t>
      </w:r>
      <w:r w:rsidR="00C84CF9">
        <w:rPr>
          <w:b/>
          <w:bCs/>
        </w:rPr>
        <w:t>vždy musí být splněna tabulka parametrů (viz žlutý text), kterou stanovil výpočtem zpracovatel PBŘS na základě norem</w:t>
      </w:r>
      <w:r w:rsidR="00C84CF9">
        <w:t xml:space="preserve">. Taktéž velikost a uspořádání kontejnerů byla nějak stanovena a neznamená to, že to musí být </w:t>
      </w:r>
      <w:r w:rsidR="0085082D">
        <w:t xml:space="preserve">zcela </w:t>
      </w:r>
      <w:r w:rsidR="00C84CF9">
        <w:t xml:space="preserve">přesně takto. Pokud by změny byly natolik zásadní a vyžadoval by to stavební zákon, tak by se musela dělat změna stavby před dokončením, ale v případě, že bude pouze změněna skladba stěn kontejneru a budou splněny požadavky na požární odolnost, tak stačí, když </w:t>
      </w:r>
      <w:r w:rsidR="0085082D">
        <w:t>vše</w:t>
      </w:r>
      <w:r w:rsidR="00C84CF9">
        <w:t xml:space="preserve"> daný dodavatel doloží certifikátem. </w:t>
      </w:r>
    </w:p>
    <w:p w:rsidR="0085082D" w:rsidRDefault="0085082D" w:rsidP="00C84CF9">
      <w:pPr>
        <w:jc w:val="both"/>
      </w:pPr>
    </w:p>
    <w:p w:rsidR="00C84CF9" w:rsidRDefault="0085082D" w:rsidP="00C84CF9">
      <w:pPr>
        <w:jc w:val="both"/>
      </w:pPr>
      <w:r>
        <w:t>Projektanta na závěr doplňuje, že v</w:t>
      </w:r>
      <w:r w:rsidR="00C84CF9">
        <w:t xml:space="preserve"> případě velkých </w:t>
      </w:r>
      <w:proofErr w:type="spellStart"/>
      <w:r w:rsidR="00C84CF9">
        <w:t>biometanových</w:t>
      </w:r>
      <w:proofErr w:type="spellEnd"/>
      <w:r w:rsidR="00C84CF9">
        <w:t xml:space="preserve"> stanic, je situace trochu odlišná. Plyn je v těchto stanicích také separován v kontejneru čištění (stačí 15DP1, resp. 30DP1 pro požární stěny), který může být plechový s obložením a vyčištěný plyn je dále odváděn do dalšího kontejneru s kompresorem, který jej stlačí na cca 25 bar a průběžně odváděn do plynovodu. Plyn zde tedy není skladován</w:t>
      </w:r>
      <w:r>
        <w:t>,</w:t>
      </w:r>
      <w:r w:rsidR="00C84CF9">
        <w:t xml:space="preserve"> a </w:t>
      </w:r>
      <w:r>
        <w:t xml:space="preserve">proto </w:t>
      </w:r>
      <w:r w:rsidR="00C84CF9">
        <w:t xml:space="preserve">není potřeba tak vysoká požární odolnost. V případě velkých </w:t>
      </w:r>
      <w:proofErr w:type="spellStart"/>
      <w:r w:rsidR="00C84CF9">
        <w:t>biometanových</w:t>
      </w:r>
      <w:proofErr w:type="spellEnd"/>
      <w:r w:rsidR="00C84CF9">
        <w:t xml:space="preserve"> stanic si tedy dodavatel </w:t>
      </w:r>
      <w:r>
        <w:t>vystačí s plechovými kontejnery, to ovšem není tento případ.</w:t>
      </w:r>
      <w:bookmarkStart w:id="0" w:name="_GoBack"/>
      <w:bookmarkEnd w:id="0"/>
    </w:p>
    <w:p w:rsidR="00C84CF9" w:rsidRDefault="00C84CF9" w:rsidP="00C84CF9">
      <w:pPr>
        <w:pStyle w:val="Odstavecseseznamem"/>
        <w:jc w:val="both"/>
      </w:pPr>
    </w:p>
    <w:p w:rsidR="0024687A" w:rsidRDefault="0024687A" w:rsidP="00C84CF9">
      <w:pPr>
        <w:jc w:val="both"/>
      </w:pPr>
    </w:p>
    <w:sectPr w:rsidR="002468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338"/>
    <w:rsid w:val="0024687A"/>
    <w:rsid w:val="00425DFB"/>
    <w:rsid w:val="00777329"/>
    <w:rsid w:val="0085082D"/>
    <w:rsid w:val="00B1275D"/>
    <w:rsid w:val="00C84CF9"/>
    <w:rsid w:val="00D1633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8A73EB-B9C6-4566-AFB0-BD02BBD36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84CF9"/>
    <w:pPr>
      <w:spacing w:after="0" w:line="240" w:lineRule="auto"/>
    </w:pPr>
    <w:rPr>
      <w:rFonts w:ascii="Calibri" w:hAnsi="Calibri" w:cs="Calibri"/>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C84CF9"/>
    <w:pPr>
      <w:ind w:left="720"/>
    </w:pPr>
  </w:style>
  <w:style w:type="paragraph" w:customStyle="1" w:styleId="Normln0">
    <w:name w:val="Normální~~~~"/>
    <w:basedOn w:val="Normln"/>
    <w:rsid w:val="00C84CF9"/>
    <w:pPr>
      <w:spacing w:line="288" w:lineRule="auto"/>
    </w:pPr>
    <w:rPr>
      <w:rFonts w:ascii="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5737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938</Words>
  <Characters>5537</Characters>
  <Application>Microsoft Office Word</Application>
  <DocSecurity>0</DocSecurity>
  <Lines>46</Lines>
  <Paragraphs>12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Vrbka Boris</dc:creator>
  <cp:keywords/>
  <dc:description/>
  <cp:lastModifiedBy>Vrbka Boris</cp:lastModifiedBy>
  <cp:revision>2</cp:revision>
  <dcterms:created xsi:type="dcterms:W3CDTF">2021-07-16T08:33:00Z</dcterms:created>
  <dcterms:modified xsi:type="dcterms:W3CDTF">2021-07-16T09:24:00Z</dcterms:modified>
</cp:coreProperties>
</file>